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仿宋" w:hAnsi="仿宋"/>
        </w:rPr>
      </w:pPr>
      <w:r>
        <w:rPr>
          <w:rStyle w:val="4"/>
          <w:rFonts w:hint="eastAsia" w:ascii="仿宋" w:hAnsi="仿宋"/>
        </w:rPr>
        <w:t>附件：</w:t>
      </w:r>
    </w:p>
    <w:tbl>
      <w:tblPr>
        <w:tblStyle w:val="2"/>
        <w:tblpPr w:leftFromText="180" w:rightFromText="180" w:vertAnchor="text" w:horzAnchor="page" w:tblpX="1577" w:tblpY="659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76"/>
        <w:gridCol w:w="2136"/>
        <w:gridCol w:w="3636"/>
        <w:gridCol w:w="604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 “十佳优秀班主任”考核结果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拟带专业班级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22级体育运营与管理1班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22网络新闻与传播2班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22网络新闻与传播1班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22跨境电子商务1班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22级会展策划与管理1班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杨黎林子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22级城市轨道交通运营管理1班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22中药学1、2班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22级体育运营与管理2班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22级人力资源管理1班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22级城市轨道交通运营管理2班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22中医康复技术1、2班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22虚拟现实技术应用1班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22会计（三二分段）1班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22中药学3、4班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蔡若松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劳兆威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22幼管、商英（三、二分段）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22级工商企业管理1班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22大数据与财务管理1班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22商务日语1班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毛振宁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22物联网应用技术1班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22计算机应用技术6班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22大数据技术1班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22级工商企业管理2班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22护理3、4班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22电子竞技运动与管理1班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汤雪娜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新商务外语学院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22商务英语2班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22网络新闻与传播3班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22大数据技术2班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22护理1、2班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22国际经济与贸易1班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22环境艺术设计1班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22计算机网络技术1班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22影视动画1班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22室内艺术设计1班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曾燕锋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云智设计传媒学院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22视觉传达设计1班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22金融服务与管理1班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22市场营销（三二分段）1班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已离职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22市场营销1班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已离职</w:t>
            </w:r>
          </w:p>
        </w:tc>
      </w:tr>
    </w:tbl>
    <w:p>
      <w:pPr>
        <w:jc w:val="left"/>
        <w:rPr>
          <w:rFonts w:ascii="仿宋" w:hAnsi="仿宋" w:eastAsia="仿宋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VmYzQ3NGIyODQ0ZGE2ZmVlMjE0N2VjZWVhZGQifQ=="/>
  </w:docVars>
  <w:rsids>
    <w:rsidRoot w:val="00000000"/>
    <w:rsid w:val="7094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:正文(缩进) 字符"/>
    <w:basedOn w:val="3"/>
    <w:link w:val="5"/>
    <w:qFormat/>
    <w:uiPriority w:val="0"/>
    <w:rPr>
      <w:rFonts w:eastAsia="仿宋"/>
      <w:sz w:val="32"/>
    </w:rPr>
  </w:style>
  <w:style w:type="paragraph" w:customStyle="1" w:styleId="5">
    <w:name w:val="公文:正文(缩进)"/>
    <w:basedOn w:val="1"/>
    <w:link w:val="4"/>
    <w:qFormat/>
    <w:uiPriority w:val="0"/>
    <w:pPr>
      <w:ind w:firstLine="20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2023-08-29T01:26:21Z</dcterms:created>
  <dc:creator>学生发展部</dc:creator>
  <cp:lastModifiedBy>学生发展部</cp:lastModifiedBy>
  <dcterms:modified xsi:type="dcterms:W3CDTF">2023-08-29T01:26:42Z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1B8F34E5ABC54693993C136C723765EF_12</vt:lpwstr>
  </property>
</Properties>
</file>